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9D" w:rsidRPr="004F22AE" w:rsidRDefault="004F22AE" w:rsidP="00A64158">
      <w:pPr>
        <w:jc w:val="both"/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Sáng 26/9/2022</w:t>
      </w:r>
      <w:r w:rsidRPr="004F22AE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, </w:t>
      </w:r>
      <w:r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Nhà trường, Hội khuyến học trường đã tổ chức trao tặng học bổng “Tân sinh viên nghèo học tốt”, đây là những học sinh lớp 12</w:t>
      </w:r>
      <w:r w:rsidRPr="004F22AE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năm học 2021-2022</w:t>
      </w:r>
      <w:r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đạt thành tích cao trong kỳ thi và đã đậu vào các trường Đại học năm học 2022-2023</w:t>
      </w:r>
      <w:r w:rsidRPr="004F22AE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.</w:t>
      </w:r>
    </w:p>
    <w:p w:rsidR="004F22AE" w:rsidRPr="004F22AE" w:rsidRDefault="00E51A3A">
      <w:pPr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</w:pPr>
      <w:r>
        <w:rPr>
          <w:rFonts w:cs="Times New Roman"/>
          <w:i/>
          <w:iCs/>
          <w:noProof/>
          <w:color w:val="222222"/>
          <w:sz w:val="30"/>
          <w:szCs w:val="30"/>
          <w:shd w:val="clear" w:color="auto" w:fill="FFFFFF"/>
        </w:rPr>
        <w:drawing>
          <wp:inline distT="0" distB="0" distL="0" distR="0">
            <wp:extent cx="5732145" cy="28194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3752810763106_7f6d99fc51541c82bc61f289b67fecb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AE" w:rsidRPr="004F22AE" w:rsidRDefault="004F22AE" w:rsidP="00A64158">
      <w:pPr>
        <w:shd w:val="clear" w:color="auto" w:fill="FFFFFF"/>
        <w:spacing w:before="100" w:beforeAutospacing="1" w:after="0" w:line="435" w:lineRule="atLeast"/>
        <w:jc w:val="both"/>
        <w:rPr>
          <w:rFonts w:eastAsia="Times New Roman" w:cs="Times New Roman"/>
          <w:color w:val="343A40"/>
          <w:sz w:val="27"/>
          <w:szCs w:val="27"/>
        </w:rPr>
      </w:pPr>
      <w:r w:rsidRPr="004F22AE">
        <w:rPr>
          <w:rFonts w:eastAsia="Times New Roman" w:cs="Times New Roman"/>
          <w:color w:val="343A40"/>
          <w:sz w:val="27"/>
          <w:szCs w:val="27"/>
        </w:rPr>
        <w:t xml:space="preserve">Tại buổi Lễ, </w:t>
      </w:r>
      <w:r>
        <w:rPr>
          <w:rFonts w:eastAsia="Times New Roman" w:cs="Times New Roman"/>
          <w:color w:val="343A40"/>
          <w:sz w:val="27"/>
          <w:szCs w:val="27"/>
        </w:rPr>
        <w:t xml:space="preserve">Nhà trường, Hội khuyến học và quỹ học bổng nâng đỡ học sinh nghèo học tốt </w:t>
      </w:r>
      <w:r w:rsidRPr="004F22AE">
        <w:rPr>
          <w:rFonts w:eastAsia="Times New Roman" w:cs="Times New Roman"/>
          <w:color w:val="343A40"/>
          <w:sz w:val="27"/>
          <w:szCs w:val="27"/>
        </w:rPr>
        <w:t xml:space="preserve">đã tuyên dương và trao </w:t>
      </w:r>
      <w:r>
        <w:rPr>
          <w:rFonts w:eastAsia="Times New Roman" w:cs="Times New Roman"/>
          <w:color w:val="343A40"/>
          <w:sz w:val="27"/>
          <w:szCs w:val="27"/>
        </w:rPr>
        <w:t>03</w:t>
      </w:r>
      <w:r w:rsidRPr="004F22AE">
        <w:rPr>
          <w:rFonts w:eastAsia="Times New Roman" w:cs="Times New Roman"/>
          <w:color w:val="343A40"/>
          <w:sz w:val="27"/>
          <w:szCs w:val="27"/>
        </w:rPr>
        <w:t xml:space="preserve"> suất học bổng </w:t>
      </w:r>
      <w:r w:rsidR="00383897">
        <w:rPr>
          <w:rFonts w:eastAsia="Times New Roman" w:cs="Times New Roman"/>
          <w:color w:val="343A40"/>
          <w:sz w:val="27"/>
          <w:szCs w:val="27"/>
        </w:rPr>
        <w:t xml:space="preserve">với tổng số tiền 36 triệu đồng </w:t>
      </w:r>
      <w:r w:rsidRPr="004F22AE">
        <w:rPr>
          <w:rFonts w:eastAsia="Times New Roman" w:cs="Times New Roman"/>
          <w:color w:val="343A40"/>
          <w:sz w:val="27"/>
          <w:szCs w:val="27"/>
        </w:rPr>
        <w:t>(mỗi suất 1</w:t>
      </w:r>
      <w:r>
        <w:rPr>
          <w:rFonts w:eastAsia="Times New Roman" w:cs="Times New Roman"/>
          <w:color w:val="343A40"/>
          <w:sz w:val="27"/>
          <w:szCs w:val="27"/>
        </w:rPr>
        <w:t>2</w:t>
      </w:r>
      <w:r w:rsidRPr="004F22AE">
        <w:rPr>
          <w:rFonts w:eastAsia="Times New Roman" w:cs="Times New Roman"/>
          <w:color w:val="343A40"/>
          <w:sz w:val="27"/>
          <w:szCs w:val="27"/>
        </w:rPr>
        <w:t xml:space="preserve"> triệu đồng) cho các em </w:t>
      </w:r>
      <w:r>
        <w:rPr>
          <w:rFonts w:eastAsia="Times New Roman" w:cs="Times New Roman"/>
          <w:color w:val="343A40"/>
          <w:sz w:val="27"/>
          <w:szCs w:val="27"/>
        </w:rPr>
        <w:t>học sinh lớp 12 năm học 2021-2022.</w:t>
      </w:r>
      <w:r w:rsidRPr="004F22AE">
        <w:rPr>
          <w:rFonts w:eastAsia="Times New Roman" w:cs="Times New Roman"/>
          <w:color w:val="343A40"/>
          <w:sz w:val="27"/>
          <w:szCs w:val="27"/>
        </w:rPr>
        <w:t xml:space="preserve"> Đây là những học sinh đạt </w:t>
      </w:r>
      <w:r>
        <w:rPr>
          <w:rFonts w:eastAsia="Times New Roman" w:cs="Times New Roman"/>
          <w:color w:val="343A40"/>
          <w:sz w:val="27"/>
          <w:szCs w:val="27"/>
        </w:rPr>
        <w:t xml:space="preserve">điểm cao </w:t>
      </w:r>
      <w:r w:rsidRPr="004F22AE">
        <w:rPr>
          <w:rFonts w:eastAsia="Times New Roman" w:cs="Times New Roman"/>
          <w:color w:val="343A40"/>
          <w:sz w:val="27"/>
          <w:szCs w:val="27"/>
        </w:rPr>
        <w:t xml:space="preserve">tại Kỳ thi </w:t>
      </w:r>
      <w:r>
        <w:rPr>
          <w:rFonts w:eastAsia="Times New Roman" w:cs="Times New Roman"/>
          <w:color w:val="343A40"/>
          <w:sz w:val="27"/>
          <w:szCs w:val="27"/>
        </w:rPr>
        <w:t>THPT vừa qua và đậu vào các trường Đại học</w:t>
      </w:r>
      <w:r w:rsidRPr="004F22AE">
        <w:rPr>
          <w:rFonts w:eastAsia="Times New Roman" w:cs="Times New Roman"/>
          <w:color w:val="343A40"/>
          <w:sz w:val="27"/>
          <w:szCs w:val="27"/>
        </w:rPr>
        <w:t>.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4F22AE" w:rsidRPr="004F22AE" w:rsidTr="00E51A3A">
        <w:trPr>
          <w:trHeight w:val="378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22AE" w:rsidRPr="004F22AE" w:rsidRDefault="00E51A3A" w:rsidP="004F22AE">
            <w:pPr>
              <w:spacing w:after="0" w:line="435" w:lineRule="atLeast"/>
              <w:jc w:val="center"/>
              <w:rPr>
                <w:rFonts w:eastAsia="Times New Roman" w:cs="Times New Roman"/>
                <w:color w:val="343A40"/>
                <w:sz w:val="27"/>
                <w:szCs w:val="27"/>
              </w:rPr>
            </w:pPr>
            <w:r>
              <w:rPr>
                <w:rFonts w:eastAsia="Times New Roman" w:cs="Times New Roman"/>
                <w:noProof/>
                <w:color w:val="343A40"/>
                <w:sz w:val="27"/>
                <w:szCs w:val="27"/>
              </w:rPr>
              <w:drawing>
                <wp:inline distT="0" distB="0" distL="0" distR="0">
                  <wp:extent cx="5732145" cy="276225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3752810778808_8060cab69164fe8ae376412234824aa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2AE" w:rsidRPr="004F22AE" w:rsidTr="00E51A3A">
        <w:trPr>
          <w:trHeight w:val="378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22AE" w:rsidRPr="004F22AE" w:rsidRDefault="004F22AE" w:rsidP="004F22AE">
            <w:pPr>
              <w:spacing w:after="0" w:line="435" w:lineRule="atLeast"/>
              <w:jc w:val="center"/>
              <w:rPr>
                <w:rFonts w:eastAsia="Times New Roman" w:cs="Times New Roman"/>
                <w:color w:val="343A40"/>
                <w:sz w:val="27"/>
                <w:szCs w:val="27"/>
              </w:rPr>
            </w:pPr>
            <w:r w:rsidRPr="004F22AE">
              <w:rPr>
                <w:rFonts w:eastAsia="Times New Roman" w:cs="Times New Roman"/>
                <w:i/>
                <w:iCs/>
                <w:color w:val="343A40"/>
                <w:sz w:val="27"/>
                <w:szCs w:val="27"/>
              </w:rPr>
              <w:t>Tuyên dương và trao học bổng cho các em học sinh.</w:t>
            </w:r>
          </w:p>
        </w:tc>
      </w:tr>
    </w:tbl>
    <w:p w:rsidR="004F22AE" w:rsidRDefault="004F22AE" w:rsidP="00A64158">
      <w:pPr>
        <w:shd w:val="clear" w:color="auto" w:fill="FFFFFF"/>
        <w:spacing w:before="100" w:beforeAutospacing="1" w:after="0" w:line="435" w:lineRule="atLeast"/>
        <w:jc w:val="both"/>
        <w:rPr>
          <w:rFonts w:eastAsia="Times New Roman" w:cs="Times New Roman"/>
          <w:color w:val="343A40"/>
          <w:sz w:val="27"/>
          <w:szCs w:val="27"/>
        </w:rPr>
      </w:pPr>
      <w:r w:rsidRPr="004F22AE">
        <w:rPr>
          <w:rFonts w:eastAsia="Times New Roman" w:cs="Times New Roman"/>
          <w:color w:val="343A40"/>
          <w:sz w:val="27"/>
          <w:szCs w:val="27"/>
        </w:rPr>
        <w:lastRenderedPageBreak/>
        <w:t xml:space="preserve">Hoạt động nhằm tuyên truyền, nâng cao nhận thức và trách nhiệm của các cấp Công đoàn, đoàn viên, </w:t>
      </w:r>
      <w:r>
        <w:rPr>
          <w:rFonts w:eastAsia="Times New Roman" w:cs="Times New Roman"/>
          <w:color w:val="343A40"/>
          <w:sz w:val="27"/>
          <w:szCs w:val="27"/>
        </w:rPr>
        <w:t>giáo viên, các tổ chức chính trị xã hội, các mạnh thường quân</w:t>
      </w:r>
      <w:r w:rsidRPr="004F22AE">
        <w:rPr>
          <w:rFonts w:eastAsia="Times New Roman" w:cs="Times New Roman"/>
          <w:color w:val="343A40"/>
          <w:sz w:val="27"/>
          <w:szCs w:val="27"/>
        </w:rPr>
        <w:t xml:space="preserve"> đối với công tác </w:t>
      </w:r>
      <w:r>
        <w:rPr>
          <w:rFonts w:eastAsia="Times New Roman" w:cs="Times New Roman"/>
          <w:color w:val="343A40"/>
          <w:sz w:val="27"/>
          <w:szCs w:val="27"/>
        </w:rPr>
        <w:t>giáo dục, giúp học sinh nghèo vượt khó</w:t>
      </w:r>
      <w:r w:rsidRPr="004F22AE">
        <w:rPr>
          <w:rFonts w:eastAsia="Times New Roman" w:cs="Times New Roman"/>
          <w:color w:val="343A40"/>
          <w:sz w:val="27"/>
          <w:szCs w:val="27"/>
        </w:rPr>
        <w:t xml:space="preserve"> vươn lên học giỏi.</w:t>
      </w:r>
    </w:p>
    <w:p w:rsidR="00E51A3A" w:rsidRPr="004F22AE" w:rsidRDefault="00E51A3A" w:rsidP="004F22AE">
      <w:pPr>
        <w:shd w:val="clear" w:color="auto" w:fill="FFFFFF"/>
        <w:spacing w:before="100" w:beforeAutospacing="1" w:after="0" w:line="435" w:lineRule="atLeast"/>
        <w:rPr>
          <w:rFonts w:eastAsia="Times New Roman" w:cs="Times New Roman"/>
          <w:color w:val="343A40"/>
          <w:sz w:val="27"/>
          <w:szCs w:val="27"/>
        </w:rPr>
      </w:pPr>
    </w:p>
    <w:p w:rsidR="00E51A3A" w:rsidRDefault="00E51A3A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732145" cy="49339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3752810781301_e4ace43b87b9598d9d97cd7977d3af6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158" w:rsidRDefault="00A64158" w:rsidP="00A64158">
      <w:pPr>
        <w:tabs>
          <w:tab w:val="left" w:pos="5115"/>
        </w:tabs>
        <w:jc w:val="both"/>
        <w:rPr>
          <w:rFonts w:cs="Times New Roman"/>
        </w:rPr>
      </w:pPr>
      <w:r>
        <w:rPr>
          <w:rFonts w:cs="Times New Roman"/>
        </w:rPr>
        <w:t>Phát biểu tại lễ trao học bổng, thầy Dương Kim Thạch – bí thư Đảng ủy, hiệu trưởng và cô Nguyễn Thị Sương người đại diện quỹ đã tuyên dương và chúc mừng 3 tân sinh viên đại học được nhận học bổng đợt này, chúc mừng và mong các em sẽ đạt được nhiều thành công trong học tập ở môi trường đại học.</w:t>
      </w:r>
    </w:p>
    <w:p w:rsidR="004F22AE" w:rsidRPr="00E51A3A" w:rsidRDefault="00A64158" w:rsidP="00E51A3A">
      <w:pPr>
        <w:tabs>
          <w:tab w:val="left" w:pos="5115"/>
        </w:tabs>
        <w:rPr>
          <w:rFonts w:cs="Times New Roman"/>
        </w:rPr>
      </w:pPr>
      <w:r>
        <w:rPr>
          <w:rFonts w:cs="Times New Roman"/>
        </w:rPr>
        <w:tab/>
      </w:r>
      <w:r w:rsidR="00E51A3A">
        <w:rPr>
          <w:rFonts w:cs="Times New Roman"/>
        </w:rPr>
        <w:t>Công Lam - PHT</w:t>
      </w:r>
    </w:p>
    <w:sectPr w:rsidR="004F22AE" w:rsidRPr="00E51A3A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AE"/>
    <w:rsid w:val="000F4666"/>
    <w:rsid w:val="00383897"/>
    <w:rsid w:val="004F22AE"/>
    <w:rsid w:val="00A64158"/>
    <w:rsid w:val="00BF21E3"/>
    <w:rsid w:val="00E51A3A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251AB-EBA9-4A98-88D9-CCE01A72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2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2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D148-B89F-4860-A9E2-BFD6CE72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2022-09-26T13:57:00Z</cp:lastPrinted>
  <dcterms:created xsi:type="dcterms:W3CDTF">2022-09-26T14:04:00Z</dcterms:created>
  <dcterms:modified xsi:type="dcterms:W3CDTF">2022-09-26T14:04:00Z</dcterms:modified>
</cp:coreProperties>
</file>